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F25A2" w14:textId="2BC1E720" w:rsidR="00D60793" w:rsidRPr="00F64A7B" w:rsidRDefault="00D60793" w:rsidP="00D60793">
      <w:pPr>
        <w:jc w:val="right"/>
        <w:rPr>
          <w:rFonts w:ascii="Times New Roman" w:hAnsi="Times New Roman" w:cs="Times New Roman"/>
          <w:bCs/>
          <w:iCs/>
          <w:sz w:val="24"/>
          <w:szCs w:val="24"/>
        </w:rPr>
      </w:pPr>
      <w:r w:rsidRPr="00F64A7B">
        <w:rPr>
          <w:rFonts w:ascii="Times New Roman" w:hAnsi="Times New Roman" w:cs="Times New Roman"/>
          <w:sz w:val="24"/>
          <w:szCs w:val="24"/>
        </w:rPr>
        <w:t xml:space="preserve">Priedas Nr. </w:t>
      </w:r>
      <w:r>
        <w:rPr>
          <w:rFonts w:ascii="Times New Roman" w:hAnsi="Times New Roman" w:cs="Times New Roman"/>
          <w:sz w:val="24"/>
          <w:szCs w:val="24"/>
        </w:rPr>
        <w:t>1</w:t>
      </w:r>
      <w:r w:rsidRPr="00F64A7B">
        <w:rPr>
          <w:rFonts w:ascii="Times New Roman" w:hAnsi="Times New Roman" w:cs="Times New Roman"/>
          <w:sz w:val="24"/>
          <w:szCs w:val="24"/>
        </w:rPr>
        <w:t xml:space="preserve"> „Te</w:t>
      </w:r>
      <w:r>
        <w:rPr>
          <w:rFonts w:ascii="Times New Roman" w:hAnsi="Times New Roman" w:cs="Times New Roman"/>
          <w:sz w:val="24"/>
          <w:szCs w:val="24"/>
        </w:rPr>
        <w:t>chninė specifikacija</w:t>
      </w:r>
      <w:r w:rsidRPr="00F64A7B">
        <w:rPr>
          <w:rFonts w:ascii="Times New Roman" w:hAnsi="Times New Roman" w:cs="Times New Roman"/>
          <w:sz w:val="24"/>
          <w:szCs w:val="24"/>
        </w:rPr>
        <w:t>“</w:t>
      </w:r>
    </w:p>
    <w:p w14:paraId="315D9879" w14:textId="77777777" w:rsidR="00D60793" w:rsidRDefault="00D60793" w:rsidP="00D60793">
      <w:pPr>
        <w:pStyle w:val="Heading3"/>
        <w:spacing w:before="100" w:beforeAutospacing="1" w:after="100" w:afterAutospacing="1" w:line="240" w:lineRule="auto"/>
        <w:contextualSpacing/>
        <w:jc w:val="center"/>
        <w:rPr>
          <w:rFonts w:ascii="Times New Roman" w:hAnsi="Times New Roman" w:cs="Times New Roman"/>
          <w:b/>
          <w:bCs/>
          <w:caps/>
          <w:color w:val="auto"/>
          <w:sz w:val="24"/>
          <w:szCs w:val="24"/>
        </w:rPr>
      </w:pPr>
    </w:p>
    <w:p w14:paraId="6AD79683" w14:textId="77777777" w:rsidR="00D60793" w:rsidRDefault="00F340E8" w:rsidP="00D60793">
      <w:pPr>
        <w:pStyle w:val="Heading3"/>
        <w:spacing w:before="100" w:beforeAutospacing="1" w:after="100" w:afterAutospacing="1" w:line="240" w:lineRule="auto"/>
        <w:contextualSpacing/>
        <w:jc w:val="center"/>
        <w:rPr>
          <w:rFonts w:ascii="Times New Roman" w:hAnsi="Times New Roman" w:cs="Times New Roman"/>
          <w:b/>
          <w:bCs/>
          <w:caps/>
          <w:color w:val="auto"/>
          <w:sz w:val="24"/>
          <w:szCs w:val="24"/>
        </w:rPr>
      </w:pPr>
      <w:r w:rsidRPr="00976C6F">
        <w:rPr>
          <w:rFonts w:ascii="Times New Roman" w:hAnsi="Times New Roman" w:cs="Times New Roman"/>
          <w:b/>
          <w:bCs/>
          <w:caps/>
          <w:color w:val="auto"/>
          <w:sz w:val="24"/>
          <w:szCs w:val="24"/>
        </w:rPr>
        <w:t xml:space="preserve">RINKOS ANALIZĖS </w:t>
      </w:r>
      <w:r w:rsidR="00976C6F">
        <w:rPr>
          <w:rFonts w:ascii="Times New Roman" w:hAnsi="Times New Roman" w:cs="Times New Roman"/>
          <w:b/>
          <w:bCs/>
          <w:caps/>
          <w:color w:val="auto"/>
          <w:sz w:val="24"/>
          <w:szCs w:val="24"/>
        </w:rPr>
        <w:t>ATLIKIMO</w:t>
      </w:r>
      <w:r w:rsidRPr="00976C6F">
        <w:rPr>
          <w:rFonts w:ascii="Times New Roman" w:hAnsi="Times New Roman" w:cs="Times New Roman"/>
          <w:b/>
          <w:bCs/>
          <w:caps/>
          <w:color w:val="auto"/>
          <w:sz w:val="24"/>
          <w:szCs w:val="24"/>
        </w:rPr>
        <w:t xml:space="preserve"> paslaugų pirkim</w:t>
      </w:r>
      <w:r w:rsidR="00976C6F">
        <w:rPr>
          <w:rFonts w:ascii="Times New Roman" w:hAnsi="Times New Roman" w:cs="Times New Roman"/>
          <w:b/>
          <w:bCs/>
          <w:caps/>
          <w:color w:val="auto"/>
          <w:sz w:val="24"/>
          <w:szCs w:val="24"/>
        </w:rPr>
        <w:t xml:space="preserve">O </w:t>
      </w:r>
    </w:p>
    <w:p w14:paraId="15BCE85E" w14:textId="48CC90B0" w:rsidR="00F340E8" w:rsidRPr="00976C6F" w:rsidRDefault="00976C6F" w:rsidP="00D60793">
      <w:pPr>
        <w:pStyle w:val="Heading3"/>
        <w:spacing w:before="100" w:beforeAutospacing="1" w:after="100" w:afterAutospacing="1" w:line="240" w:lineRule="auto"/>
        <w:contextualSpacing/>
        <w:jc w:val="center"/>
        <w:rPr>
          <w:rFonts w:ascii="Times New Roman" w:hAnsi="Times New Roman" w:cs="Times New Roman"/>
          <w:b/>
          <w:bCs/>
          <w:caps/>
          <w:color w:val="auto"/>
          <w:sz w:val="24"/>
          <w:szCs w:val="24"/>
        </w:rPr>
      </w:pPr>
      <w:r>
        <w:rPr>
          <w:rFonts w:ascii="Times New Roman" w:hAnsi="Times New Roman" w:cs="Times New Roman"/>
          <w:b/>
          <w:bCs/>
          <w:caps/>
          <w:color w:val="auto"/>
          <w:sz w:val="24"/>
          <w:szCs w:val="24"/>
        </w:rPr>
        <w:t>TECHNINĖ SPECIFIKACIJA</w:t>
      </w:r>
    </w:p>
    <w:p w14:paraId="0B2B1ED1" w14:textId="77777777" w:rsidR="00F340E8" w:rsidRPr="00976C6F" w:rsidRDefault="00F340E8" w:rsidP="00F340E8">
      <w:pPr>
        <w:pStyle w:val="Heading1"/>
        <w:jc w:val="center"/>
        <w:rPr>
          <w:rFonts w:ascii="Times New Roman" w:hAnsi="Times New Roman" w:cs="Times New Roman"/>
          <w:b/>
          <w:bCs/>
          <w:color w:val="auto"/>
          <w:sz w:val="24"/>
          <w:szCs w:val="24"/>
        </w:rPr>
      </w:pPr>
      <w:r w:rsidRPr="00976C6F">
        <w:rPr>
          <w:rFonts w:ascii="Times New Roman" w:hAnsi="Times New Roman" w:cs="Times New Roman"/>
          <w:b/>
          <w:bCs/>
          <w:color w:val="auto"/>
          <w:sz w:val="24"/>
          <w:szCs w:val="24"/>
        </w:rPr>
        <w:t>I. BENDROSIOS NUOSTATOS</w:t>
      </w:r>
    </w:p>
    <w:p w14:paraId="1049E20A" w14:textId="5A00D673" w:rsidR="00F340E8" w:rsidRPr="00976C6F" w:rsidRDefault="00F340E8" w:rsidP="00F340E8">
      <w:pPr>
        <w:numPr>
          <w:ilvl w:val="0"/>
          <w:numId w:val="1"/>
        </w:numPr>
        <w:tabs>
          <w:tab w:val="num" w:pos="720"/>
          <w:tab w:val="left" w:pos="993"/>
        </w:tabs>
        <w:spacing w:after="0" w:line="240" w:lineRule="auto"/>
        <w:ind w:left="0" w:firstLine="540"/>
        <w:jc w:val="both"/>
        <w:rPr>
          <w:rFonts w:ascii="Times New Roman" w:hAnsi="Times New Roman" w:cs="Times New Roman"/>
          <w:color w:val="000000"/>
          <w:sz w:val="24"/>
          <w:szCs w:val="24"/>
        </w:rPr>
      </w:pPr>
      <w:r w:rsidRPr="00976C6F">
        <w:rPr>
          <w:rFonts w:ascii="Times New Roman" w:hAnsi="Times New Roman" w:cs="Times New Roman"/>
          <w:b/>
          <w:bCs/>
          <w:color w:val="000000"/>
          <w:sz w:val="24"/>
          <w:szCs w:val="24"/>
        </w:rPr>
        <w:t>Paslaugos</w:t>
      </w:r>
      <w:r w:rsidRPr="00976C6F">
        <w:rPr>
          <w:rFonts w:ascii="Times New Roman" w:hAnsi="Times New Roman" w:cs="Times New Roman"/>
          <w:color w:val="000000"/>
          <w:sz w:val="24"/>
          <w:szCs w:val="24"/>
        </w:rPr>
        <w:t>: rinkos analizės atlikim</w:t>
      </w:r>
      <w:r w:rsidR="00976C6F">
        <w:rPr>
          <w:rFonts w:ascii="Times New Roman" w:hAnsi="Times New Roman" w:cs="Times New Roman"/>
          <w:color w:val="000000"/>
          <w:sz w:val="24"/>
          <w:szCs w:val="24"/>
        </w:rPr>
        <w:t>o</w:t>
      </w:r>
      <w:r w:rsidRPr="00976C6F">
        <w:rPr>
          <w:rFonts w:ascii="Times New Roman" w:hAnsi="Times New Roman" w:cs="Times New Roman"/>
          <w:color w:val="000000"/>
          <w:sz w:val="24"/>
          <w:szCs w:val="24"/>
        </w:rPr>
        <w:t xml:space="preserve"> pagal VšĮ „Lietuvos inovacijų centras“ Interreg Europe programos finansuojamą projektą „Repower Industries“</w:t>
      </w:r>
      <w:r w:rsidR="00976C6F">
        <w:rPr>
          <w:rFonts w:ascii="Times New Roman" w:hAnsi="Times New Roman" w:cs="Times New Roman"/>
          <w:color w:val="000000"/>
          <w:sz w:val="24"/>
          <w:szCs w:val="24"/>
        </w:rPr>
        <w:t xml:space="preserve"> paslaugos</w:t>
      </w:r>
      <w:r w:rsidRPr="00976C6F">
        <w:rPr>
          <w:rFonts w:ascii="Times New Roman" w:hAnsi="Times New Roman" w:cs="Times New Roman"/>
          <w:color w:val="000000"/>
          <w:sz w:val="24"/>
          <w:szCs w:val="24"/>
        </w:rPr>
        <w:t>.</w:t>
      </w:r>
    </w:p>
    <w:p w14:paraId="7D715041" w14:textId="77777777" w:rsidR="00F340E8" w:rsidRPr="00976C6F" w:rsidRDefault="00F340E8" w:rsidP="00F340E8">
      <w:pPr>
        <w:numPr>
          <w:ilvl w:val="0"/>
          <w:numId w:val="1"/>
        </w:numPr>
        <w:tabs>
          <w:tab w:val="num" w:pos="720"/>
          <w:tab w:val="left" w:pos="993"/>
        </w:tabs>
        <w:spacing w:after="0" w:line="240" w:lineRule="auto"/>
        <w:ind w:left="0" w:firstLine="540"/>
        <w:jc w:val="both"/>
        <w:rPr>
          <w:rFonts w:ascii="Times New Roman" w:hAnsi="Times New Roman" w:cs="Times New Roman"/>
          <w:color w:val="000000"/>
          <w:sz w:val="24"/>
          <w:szCs w:val="24"/>
        </w:rPr>
      </w:pPr>
      <w:r w:rsidRPr="00976C6F">
        <w:rPr>
          <w:rFonts w:ascii="Times New Roman" w:hAnsi="Times New Roman" w:cs="Times New Roman"/>
          <w:b/>
          <w:bCs/>
          <w:color w:val="000000"/>
          <w:sz w:val="24"/>
          <w:szCs w:val="24"/>
        </w:rPr>
        <w:t>Paslaugų teikėjas:</w:t>
      </w:r>
      <w:r w:rsidRPr="00976C6F">
        <w:rPr>
          <w:rFonts w:ascii="Times New Roman" w:hAnsi="Times New Roman" w:cs="Times New Roman"/>
          <w:color w:val="000000"/>
          <w:sz w:val="24"/>
          <w:szCs w:val="24"/>
        </w:rPr>
        <w:t xml:space="preserve"> atrenkamas viešųjų pirkimų būdu.</w:t>
      </w:r>
    </w:p>
    <w:p w14:paraId="5BF30274" w14:textId="77777777" w:rsidR="00551A64" w:rsidRDefault="00F340E8" w:rsidP="00551A64">
      <w:pPr>
        <w:numPr>
          <w:ilvl w:val="0"/>
          <w:numId w:val="1"/>
        </w:numPr>
        <w:tabs>
          <w:tab w:val="num" w:pos="720"/>
          <w:tab w:val="left" w:pos="993"/>
        </w:tabs>
        <w:spacing w:after="0" w:line="240" w:lineRule="auto"/>
        <w:ind w:left="0" w:firstLine="540"/>
        <w:jc w:val="both"/>
        <w:rPr>
          <w:rFonts w:ascii="Times New Roman" w:hAnsi="Times New Roman" w:cs="Times New Roman"/>
          <w:color w:val="000000"/>
          <w:sz w:val="24"/>
          <w:szCs w:val="24"/>
        </w:rPr>
      </w:pPr>
      <w:r w:rsidRPr="00976C6F">
        <w:rPr>
          <w:rFonts w:ascii="Times New Roman" w:hAnsi="Times New Roman" w:cs="Times New Roman"/>
          <w:b/>
          <w:bCs/>
          <w:color w:val="000000"/>
          <w:sz w:val="24"/>
          <w:szCs w:val="24"/>
        </w:rPr>
        <w:t>Užsakovas:</w:t>
      </w:r>
      <w:r w:rsidRPr="00976C6F">
        <w:rPr>
          <w:rFonts w:ascii="Times New Roman" w:hAnsi="Times New Roman" w:cs="Times New Roman"/>
          <w:color w:val="000000"/>
          <w:sz w:val="24"/>
          <w:szCs w:val="24"/>
        </w:rPr>
        <w:t xml:space="preserve"> VšĮ </w:t>
      </w:r>
      <w:r w:rsidR="00976C6F">
        <w:rPr>
          <w:rFonts w:ascii="Times New Roman" w:hAnsi="Times New Roman" w:cs="Times New Roman"/>
          <w:color w:val="000000"/>
          <w:sz w:val="24"/>
          <w:szCs w:val="24"/>
        </w:rPr>
        <w:t>„</w:t>
      </w:r>
      <w:r w:rsidRPr="00976C6F">
        <w:rPr>
          <w:rFonts w:ascii="Times New Roman" w:hAnsi="Times New Roman" w:cs="Times New Roman"/>
          <w:color w:val="000000"/>
          <w:sz w:val="24"/>
          <w:szCs w:val="24"/>
        </w:rPr>
        <w:t>Lietuvos inovacijų centras</w:t>
      </w:r>
      <w:r w:rsidR="00976C6F">
        <w:rPr>
          <w:rFonts w:ascii="Times New Roman" w:hAnsi="Times New Roman" w:cs="Times New Roman"/>
          <w:color w:val="000000"/>
          <w:sz w:val="24"/>
          <w:szCs w:val="24"/>
        </w:rPr>
        <w:t>“</w:t>
      </w:r>
      <w:r w:rsidRPr="00976C6F">
        <w:rPr>
          <w:rFonts w:ascii="Times New Roman" w:hAnsi="Times New Roman" w:cs="Times New Roman"/>
          <w:color w:val="000000"/>
          <w:sz w:val="24"/>
          <w:szCs w:val="24"/>
        </w:rPr>
        <w:t xml:space="preserve"> (toliau – Perkančioji organizacija).</w:t>
      </w:r>
    </w:p>
    <w:p w14:paraId="07F64BE4" w14:textId="14B20AAA" w:rsidR="00F340E8" w:rsidRPr="00551A64" w:rsidRDefault="00551A64" w:rsidP="00551A64">
      <w:pPr>
        <w:numPr>
          <w:ilvl w:val="0"/>
          <w:numId w:val="1"/>
        </w:numPr>
        <w:tabs>
          <w:tab w:val="num" w:pos="720"/>
          <w:tab w:val="left" w:pos="993"/>
        </w:tabs>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sidR="00F340E8" w:rsidRPr="00551A64">
        <w:rPr>
          <w:rFonts w:ascii="Times New Roman" w:hAnsi="Times New Roman" w:cs="Times New Roman"/>
          <w:b/>
          <w:bCs/>
          <w:color w:val="000000"/>
          <w:sz w:val="24"/>
          <w:szCs w:val="24"/>
        </w:rPr>
        <w:t>Interreg Europe programos pristatymas</w:t>
      </w:r>
      <w:r w:rsidR="00976C6F" w:rsidRPr="00551A64">
        <w:rPr>
          <w:rFonts w:ascii="Times New Roman" w:hAnsi="Times New Roman" w:cs="Times New Roman"/>
          <w:b/>
          <w:bCs/>
          <w:color w:val="000000"/>
          <w:sz w:val="24"/>
          <w:szCs w:val="24"/>
        </w:rPr>
        <w:t>:</w:t>
      </w:r>
    </w:p>
    <w:p w14:paraId="0ECA26AC"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Interreg Europe yra tarpregioninė bendradarbiavimo programa, kurią dalinai finansuoja Europos Sąjunga. Europos Sąjunga siekia sumažinti plėtros, augimo ir gyvenimo kokybės skirtumus tarp Europos regionų. Programos tikslas yra padėti vietos, regioninėms ir nacionalinėms valdžios institucijoms visoje Europoje kurti ir įgyvendinti geresnę politiką, kuri būtų paremta sprendimų dalijimusi dėl panašių problemų, su kuriomis susiduria įvairūs Europos regionai.</w:t>
      </w:r>
    </w:p>
    <w:p w14:paraId="7C3A5AD7"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Programa leidžia viešosioms institucijoms ir kitoms suinteresuotoms organizacijoms aktyviai mokytis iš kitų regionų patirties. Tai mokymosi procesas, kuriame identifikuojami, analizuojami ir perduodami geri praktiniai pavyzdžiai, siekiant tobulinti regioninės plėtros politikos įrankius ir galiausiai įgyvendinti sprendimus, kurie būtų naudingi visiems piliečiams.</w:t>
      </w:r>
    </w:p>
    <w:p w14:paraId="6756419A" w14:textId="0D4FCC2A" w:rsidR="00976C6F" w:rsidRPr="00551A64" w:rsidRDefault="00F340E8" w:rsidP="00551A64">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Vietos ir regioninės politikos įrankių užduotis – integruoti ir įgyvendinti patirtis, išmoktas tarpregioninio bendradarbiavimo metu. Projekto rezultatai daugiausia susiję su šių patirčių integravimu į atitinkamas vietos, regionines ar nacionalines politikos priemones, todėl jie turi būti tvarūs.</w:t>
      </w:r>
    </w:p>
    <w:p w14:paraId="626F863E" w14:textId="1CD6EA4A" w:rsidR="00F340E8" w:rsidRPr="00976C6F" w:rsidRDefault="00F340E8" w:rsidP="00976C6F">
      <w:pPr>
        <w:tabs>
          <w:tab w:val="left" w:pos="993"/>
        </w:tabs>
        <w:spacing w:after="0" w:line="240" w:lineRule="auto"/>
        <w:ind w:firstLine="720"/>
        <w:jc w:val="both"/>
        <w:rPr>
          <w:rFonts w:ascii="Times New Roman" w:hAnsi="Times New Roman" w:cs="Times New Roman"/>
          <w:b/>
          <w:bCs/>
          <w:color w:val="000000"/>
          <w:sz w:val="24"/>
          <w:szCs w:val="24"/>
        </w:rPr>
      </w:pPr>
      <w:r w:rsidRPr="00976C6F">
        <w:rPr>
          <w:rFonts w:ascii="Times New Roman" w:hAnsi="Times New Roman" w:cs="Times New Roman"/>
          <w:b/>
          <w:bCs/>
          <w:color w:val="000000"/>
          <w:sz w:val="24"/>
          <w:szCs w:val="24"/>
        </w:rPr>
        <w:t>Bendradarbiavimo poreikis užtikrinant energetinę nepriklausomybę mažoms ir vidutinėms įmonėms (MVĮ), pramonei ir gamybos sektoriams</w:t>
      </w:r>
      <w:r w:rsidR="00976C6F">
        <w:rPr>
          <w:rFonts w:ascii="Times New Roman" w:hAnsi="Times New Roman" w:cs="Times New Roman"/>
          <w:b/>
          <w:bCs/>
          <w:color w:val="000000"/>
          <w:sz w:val="24"/>
          <w:szCs w:val="24"/>
        </w:rPr>
        <w:t>:</w:t>
      </w:r>
    </w:p>
    <w:p w14:paraId="6B7DDD73"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Naujausios geopolitinės įtampos parodė, kaip kai kurie ES strateginiai sektoriai, tokie kaip pramonė ir agropramonė, yra labai pažeidžiami dėl tarptautinių energijos rinkos sutrikimų. Šie įvykiai padidino spaudimą kurti atsparesnę ir nepriklausomą ES energetikos rinką, pradedant nuo šių strateginių sektorių stiprinimo ir mažinant priklausomybę nuo elektros tinklų.</w:t>
      </w:r>
    </w:p>
    <w:p w14:paraId="56A57851"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Energetinė nepriklausomybė ir saugumas tampa vis svarbesni pramoninei gamybai ir administracinėms pastatams. Atsinaujinančių energijos šaltinių, tokių kaip saulės, vėjo, hidro ir geoterminė energija, naudojimas yra efektyvus būdas pasiekti energetinę nepriklausomybę ir savarankiškumą.</w:t>
      </w:r>
    </w:p>
    <w:p w14:paraId="250598DD"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Pramoninė savarankiškumo sistema turi būti kuriama kaip technologijų derinys, apimantis atsinaujinančią energiją, energijos kaupimą ir energijos efektyvumą.</w:t>
      </w:r>
    </w:p>
    <w:p w14:paraId="62C61D2A"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2022 m. kovo 8 d. Europos Sąjunga pasiūlė planą, siekiant iki 2030 metų padaryti Europą nepriklausomą nuo Rusijos iškastinio kuro. REPowerEU koncepcija siekia diversifikuoti dujų tiekimą, pagreitinti atsinaujinančių dujų naudojimo diegimą ir skatinti energijos taupymą.</w:t>
      </w:r>
    </w:p>
    <w:p w14:paraId="6559CE04"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Vienas iš didžiausių atsinaujinančių energijos šaltinių privalumų yra jų gausumas ir neišsenkamumas, priešingai nei iškastinis kuras, kuris yra ribotas ir prisideda prie aplinkos taršos. Naudojant atsinaujinančius energijos šaltinius, pramonės ir administraciniai pastatai gali sumažinti savo anglies pėdsaką ir prisidėti prie kovos su klimato kaita.</w:t>
      </w:r>
    </w:p>
    <w:p w14:paraId="0199E8EE" w14:textId="495827C5" w:rsidR="00F340E8" w:rsidRPr="00976C6F" w:rsidRDefault="00F340E8" w:rsidP="00551A64">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Repower Industries projektas sutelkia dėmesį į būtinybę įgyvendinti Europos koordinuotą požiūrį į mažųjų ir vidutinių įmonių, pramonės ir gamybos sektorių energetinę nepriklausomybę.</w:t>
      </w:r>
    </w:p>
    <w:p w14:paraId="0889A078" w14:textId="7BE6CCA8" w:rsidR="00F340E8" w:rsidRPr="00976C6F" w:rsidRDefault="00F340E8" w:rsidP="00F340E8">
      <w:pPr>
        <w:tabs>
          <w:tab w:val="left" w:pos="993"/>
        </w:tabs>
        <w:spacing w:after="0" w:line="240" w:lineRule="auto"/>
        <w:ind w:firstLine="720"/>
        <w:jc w:val="both"/>
        <w:rPr>
          <w:rFonts w:ascii="Times New Roman" w:hAnsi="Times New Roman" w:cs="Times New Roman"/>
          <w:b/>
          <w:bCs/>
          <w:color w:val="000000"/>
          <w:sz w:val="24"/>
          <w:szCs w:val="24"/>
        </w:rPr>
      </w:pPr>
      <w:r w:rsidRPr="00976C6F">
        <w:rPr>
          <w:rFonts w:ascii="Times New Roman" w:hAnsi="Times New Roman" w:cs="Times New Roman"/>
          <w:b/>
          <w:bCs/>
          <w:color w:val="000000"/>
          <w:sz w:val="24"/>
          <w:szCs w:val="24"/>
        </w:rPr>
        <w:t>Paslaug</w:t>
      </w:r>
      <w:r w:rsidR="00976C6F" w:rsidRPr="00976C6F">
        <w:rPr>
          <w:rFonts w:ascii="Times New Roman" w:hAnsi="Times New Roman" w:cs="Times New Roman"/>
          <w:b/>
          <w:bCs/>
          <w:color w:val="000000"/>
          <w:sz w:val="24"/>
          <w:szCs w:val="24"/>
        </w:rPr>
        <w:t>ų</w:t>
      </w:r>
      <w:r w:rsidRPr="00976C6F">
        <w:rPr>
          <w:rFonts w:ascii="Times New Roman" w:hAnsi="Times New Roman" w:cs="Times New Roman"/>
          <w:b/>
          <w:bCs/>
          <w:color w:val="000000"/>
          <w:sz w:val="24"/>
          <w:szCs w:val="24"/>
        </w:rPr>
        <w:t xml:space="preserve"> apibūdinimas</w:t>
      </w:r>
      <w:r w:rsidR="00976C6F">
        <w:rPr>
          <w:rFonts w:ascii="Times New Roman" w:hAnsi="Times New Roman" w:cs="Times New Roman"/>
          <w:b/>
          <w:bCs/>
          <w:color w:val="000000"/>
          <w:sz w:val="24"/>
          <w:szCs w:val="24"/>
        </w:rPr>
        <w:t>:</w:t>
      </w:r>
    </w:p>
    <w:p w14:paraId="22DDE34E"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 xml:space="preserve">Repower Industries projektas sutelktas į tinklų kūrimą, patirties apsikeitimą ir naujų energetikos politikų perdavimą, siekiant rasti sprendimus bendriems iššūkiams. Daugiau apie projektą </w:t>
      </w:r>
      <w:hyperlink r:id="rId5" w:history="1">
        <w:r w:rsidRPr="00976C6F">
          <w:rPr>
            <w:rStyle w:val="Hyperlink"/>
            <w:rFonts w:ascii="Times New Roman" w:hAnsi="Times New Roman" w:cs="Times New Roman"/>
            <w:sz w:val="24"/>
            <w:szCs w:val="24"/>
          </w:rPr>
          <w:t>https://www.interregeurope.eu/repower-industries</w:t>
        </w:r>
      </w:hyperlink>
      <w:r w:rsidRPr="00976C6F">
        <w:rPr>
          <w:rFonts w:ascii="Times New Roman" w:hAnsi="Times New Roman" w:cs="Times New Roman"/>
          <w:sz w:val="24"/>
          <w:szCs w:val="24"/>
        </w:rPr>
        <w:t>.</w:t>
      </w:r>
    </w:p>
    <w:p w14:paraId="3565DFCC"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 xml:space="preserve">Viešasis finansavimas ir parama yra riboti, todėl projekte dalyvaujančių valdymo institucijų tikslas yra sukurti įrankius, kurie gali suteikti didžiausią poveikį sektoriui su mažiausiomis </w:t>
      </w:r>
      <w:r w:rsidRPr="00976C6F">
        <w:rPr>
          <w:rFonts w:ascii="Times New Roman" w:hAnsi="Times New Roman" w:cs="Times New Roman"/>
          <w:color w:val="000000"/>
          <w:sz w:val="24"/>
          <w:szCs w:val="24"/>
        </w:rPr>
        <w:lastRenderedPageBreak/>
        <w:t>viešosiomis investicijomis, esant kuo mažesnėms sąnaudoms pasiekti didžiausią socialinį-ekonominį poveikį.</w:t>
      </w:r>
    </w:p>
    <w:p w14:paraId="204756A3" w14:textId="77777777" w:rsidR="00F340E8" w:rsidRPr="00976C6F" w:rsidRDefault="00F340E8" w:rsidP="00F340E8">
      <w:pPr>
        <w:tabs>
          <w:tab w:val="left" w:pos="993"/>
        </w:tabs>
        <w:spacing w:after="0" w:line="240" w:lineRule="auto"/>
        <w:ind w:firstLine="720"/>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 xml:space="preserve">Pirmasis žingsnis šiame procese yra nustatyti esamą sektoriaus situaciją toje srityje, kurią siekiama paveikti. Dabartinės situacijos analizė yra įvairiai vadinama Interreg Europe bendruomenėje, pvz., regioninė identifikacija, dabartinė situacija, regioninė analizė ir t.t. Repower Industries projekte tai apibrėžiama kaip </w:t>
      </w:r>
      <w:r w:rsidRPr="00976C6F">
        <w:rPr>
          <w:rFonts w:ascii="Times New Roman" w:hAnsi="Times New Roman" w:cs="Times New Roman"/>
          <w:b/>
          <w:bCs/>
          <w:color w:val="000000"/>
          <w:sz w:val="24"/>
          <w:szCs w:val="24"/>
        </w:rPr>
        <w:t>rinkos analizė</w:t>
      </w:r>
      <w:r w:rsidRPr="00976C6F">
        <w:rPr>
          <w:rFonts w:ascii="Times New Roman" w:hAnsi="Times New Roman" w:cs="Times New Roman"/>
          <w:color w:val="000000"/>
          <w:sz w:val="24"/>
          <w:szCs w:val="24"/>
        </w:rPr>
        <w:t>.</w:t>
      </w:r>
    </w:p>
    <w:p w14:paraId="28E14715" w14:textId="60463693" w:rsidR="00F340E8" w:rsidRDefault="00F340E8" w:rsidP="00976C6F">
      <w:pPr>
        <w:tabs>
          <w:tab w:val="left" w:pos="993"/>
        </w:tabs>
        <w:spacing w:after="0" w:line="240" w:lineRule="auto"/>
        <w:ind w:firstLine="720"/>
        <w:jc w:val="both"/>
        <w:rPr>
          <w:rFonts w:ascii="Times New Roman" w:hAnsi="Times New Roman" w:cs="Times New Roman"/>
          <w:b/>
          <w:bCs/>
          <w:color w:val="000000"/>
          <w:sz w:val="24"/>
          <w:szCs w:val="24"/>
        </w:rPr>
      </w:pPr>
      <w:r w:rsidRPr="00976C6F">
        <w:rPr>
          <w:rFonts w:ascii="Times New Roman" w:hAnsi="Times New Roman" w:cs="Times New Roman"/>
          <w:color w:val="000000"/>
          <w:sz w:val="24"/>
          <w:szCs w:val="24"/>
        </w:rPr>
        <w:t xml:space="preserve">Siekiant palengvinti tinklų kūrimą, patirties mainus ir gerų praktikų perdavimą tarp projekto partnerių, būtinas bendras požiūris į kiekvienos šalies analizę, kad rezultatai ir faktai  būtų palyginami, pateikiamos lyginamosios išvados. </w:t>
      </w:r>
      <w:r w:rsidRPr="00976C6F">
        <w:rPr>
          <w:rFonts w:ascii="Times New Roman" w:hAnsi="Times New Roman" w:cs="Times New Roman"/>
          <w:b/>
          <w:bCs/>
          <w:color w:val="000000"/>
          <w:sz w:val="24"/>
          <w:szCs w:val="24"/>
        </w:rPr>
        <w:t>Šio projekto kontekste rinkos analizė atliekama Lietuvos mastu.</w:t>
      </w:r>
    </w:p>
    <w:p w14:paraId="5E6219F3" w14:textId="77777777" w:rsidR="00976C6F" w:rsidRPr="00976C6F" w:rsidRDefault="00976C6F" w:rsidP="00976C6F">
      <w:pPr>
        <w:tabs>
          <w:tab w:val="left" w:pos="993"/>
        </w:tabs>
        <w:spacing w:after="0" w:line="240" w:lineRule="auto"/>
        <w:ind w:firstLine="720"/>
        <w:jc w:val="both"/>
        <w:rPr>
          <w:rFonts w:ascii="Times New Roman" w:hAnsi="Times New Roman" w:cs="Times New Roman"/>
          <w:b/>
          <w:bCs/>
          <w:color w:val="000000"/>
          <w:sz w:val="24"/>
          <w:szCs w:val="24"/>
        </w:rPr>
      </w:pPr>
    </w:p>
    <w:p w14:paraId="6570C991" w14:textId="77777777" w:rsidR="00F340E8" w:rsidRPr="00976C6F" w:rsidRDefault="00F340E8" w:rsidP="00F340E8">
      <w:pPr>
        <w:ind w:firstLine="720"/>
        <w:rPr>
          <w:rFonts w:ascii="Times New Roman" w:hAnsi="Times New Roman" w:cs="Times New Roman"/>
          <w:b/>
          <w:bCs/>
          <w:sz w:val="24"/>
          <w:szCs w:val="24"/>
          <w:lang w:eastAsia="lt-LT"/>
        </w:rPr>
      </w:pPr>
      <w:r w:rsidRPr="00976C6F">
        <w:rPr>
          <w:rFonts w:ascii="Times New Roman" w:hAnsi="Times New Roman" w:cs="Times New Roman"/>
          <w:b/>
          <w:bCs/>
          <w:sz w:val="24"/>
          <w:szCs w:val="24"/>
          <w:lang w:eastAsia="lt-LT"/>
        </w:rPr>
        <w:t>Rinkos analizės struktūra:</w:t>
      </w:r>
    </w:p>
    <w:p w14:paraId="32F1B0D2"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TURINYS</w:t>
      </w:r>
    </w:p>
    <w:p w14:paraId="7D192667"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SANTRAUKA</w:t>
      </w:r>
    </w:p>
    <w:p w14:paraId="48E32D83"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ĮVADAS IR ANALIZĖS LOGIKA</w:t>
      </w:r>
      <w:r w:rsidRPr="00976C6F">
        <w:rPr>
          <w:rFonts w:ascii="Times New Roman" w:eastAsia="Times New Roman" w:hAnsi="Times New Roman" w:cs="Times New Roman"/>
          <w:sz w:val="24"/>
          <w:szCs w:val="24"/>
          <w:lang w:eastAsia="lt-LT"/>
        </w:rPr>
        <w:br/>
        <w:t>3.1 Įvadas į temą</w:t>
      </w:r>
      <w:r w:rsidRPr="00976C6F">
        <w:rPr>
          <w:rFonts w:ascii="Times New Roman" w:eastAsia="Times New Roman" w:hAnsi="Times New Roman" w:cs="Times New Roman"/>
          <w:sz w:val="24"/>
          <w:szCs w:val="24"/>
          <w:lang w:eastAsia="lt-LT"/>
        </w:rPr>
        <w:br/>
        <w:t>3.1.1 Energetikos iššūkių pristatymas</w:t>
      </w:r>
      <w:r w:rsidRPr="00976C6F">
        <w:rPr>
          <w:rFonts w:ascii="Times New Roman" w:eastAsia="Times New Roman" w:hAnsi="Times New Roman" w:cs="Times New Roman"/>
          <w:sz w:val="24"/>
          <w:szCs w:val="24"/>
          <w:lang w:eastAsia="lt-LT"/>
        </w:rPr>
        <w:br/>
        <w:t>3.1.2 Pagrindinių RepowerIndustries sąvokų pristatymas</w:t>
      </w:r>
    </w:p>
    <w:p w14:paraId="4E55CA3D"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ANALIZUOJAMA SRITIS</w:t>
      </w:r>
    </w:p>
    <w:p w14:paraId="4C3C6338"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ENERGETIKOS KONTEKSTAS ANALIZUOJAMOJE SRITYJE</w:t>
      </w:r>
      <w:r w:rsidRPr="00976C6F">
        <w:rPr>
          <w:rFonts w:ascii="Times New Roman" w:eastAsia="Times New Roman" w:hAnsi="Times New Roman" w:cs="Times New Roman"/>
          <w:sz w:val="24"/>
          <w:szCs w:val="24"/>
          <w:lang w:eastAsia="lt-LT"/>
        </w:rPr>
        <w:br/>
        <w:t xml:space="preserve">5.1 Energetikos politikos priemonės </w:t>
      </w:r>
      <w:r w:rsidRPr="00976C6F">
        <w:rPr>
          <w:rFonts w:ascii="Times New Roman" w:eastAsia="Times New Roman" w:hAnsi="Times New Roman" w:cs="Times New Roman"/>
          <w:sz w:val="24"/>
          <w:szCs w:val="24"/>
          <w:lang w:eastAsia="lt-LT"/>
        </w:rPr>
        <w:br/>
        <w:t>5.2 Energetikos politika</w:t>
      </w:r>
      <w:r w:rsidRPr="00976C6F">
        <w:rPr>
          <w:rFonts w:ascii="Times New Roman" w:eastAsia="Times New Roman" w:hAnsi="Times New Roman" w:cs="Times New Roman"/>
          <w:sz w:val="24"/>
          <w:szCs w:val="24"/>
          <w:lang w:eastAsia="lt-LT"/>
        </w:rPr>
        <w:br/>
        <w:t>5.2.1 Teisinė aplinka</w:t>
      </w:r>
      <w:r w:rsidRPr="00976C6F">
        <w:rPr>
          <w:rFonts w:ascii="Times New Roman" w:eastAsia="Times New Roman" w:hAnsi="Times New Roman" w:cs="Times New Roman"/>
          <w:sz w:val="24"/>
          <w:szCs w:val="24"/>
          <w:lang w:eastAsia="lt-LT"/>
        </w:rPr>
        <w:br/>
        <w:t>5.2.2 Energetikos valdymo planai</w:t>
      </w:r>
      <w:r w:rsidRPr="00976C6F">
        <w:rPr>
          <w:rFonts w:ascii="Times New Roman" w:eastAsia="Times New Roman" w:hAnsi="Times New Roman" w:cs="Times New Roman"/>
          <w:sz w:val="24"/>
          <w:szCs w:val="24"/>
          <w:lang w:eastAsia="lt-LT"/>
        </w:rPr>
        <w:br/>
        <w:t>5.2.3 Situacijos analizė šalyje</w:t>
      </w:r>
    </w:p>
    <w:p w14:paraId="43B74C1C"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EKONOMINIS ENERGETIKOS KONTEKSTAS</w:t>
      </w:r>
      <w:r w:rsidRPr="00976C6F">
        <w:rPr>
          <w:rFonts w:ascii="Times New Roman" w:eastAsia="Times New Roman" w:hAnsi="Times New Roman" w:cs="Times New Roman"/>
          <w:sz w:val="24"/>
          <w:szCs w:val="24"/>
          <w:lang w:eastAsia="lt-LT"/>
        </w:rPr>
        <w:br/>
        <w:t>6.1 Energetikos verslo aplinka</w:t>
      </w:r>
      <w:r w:rsidRPr="00976C6F">
        <w:rPr>
          <w:rFonts w:ascii="Times New Roman" w:eastAsia="Times New Roman" w:hAnsi="Times New Roman" w:cs="Times New Roman"/>
          <w:sz w:val="24"/>
          <w:szCs w:val="24"/>
          <w:lang w:eastAsia="lt-LT"/>
        </w:rPr>
        <w:br/>
        <w:t>6.1.1 Nacionalinė ir regioninė verslo aplinka</w:t>
      </w:r>
      <w:r w:rsidRPr="00976C6F">
        <w:rPr>
          <w:rFonts w:ascii="Times New Roman" w:eastAsia="Times New Roman" w:hAnsi="Times New Roman" w:cs="Times New Roman"/>
          <w:sz w:val="24"/>
          <w:szCs w:val="24"/>
          <w:lang w:eastAsia="lt-LT"/>
        </w:rPr>
        <w:br/>
        <w:t>6.1.2 Nacionalinės ir regioninės energijos efektyvumo viešinimo strategijos</w:t>
      </w:r>
    </w:p>
    <w:p w14:paraId="69EFB62C"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ENERGETIKOS KONCEPCIJOS</w:t>
      </w:r>
      <w:r w:rsidRPr="00976C6F">
        <w:rPr>
          <w:rFonts w:ascii="Times New Roman" w:eastAsia="Times New Roman" w:hAnsi="Times New Roman" w:cs="Times New Roman"/>
          <w:sz w:val="24"/>
          <w:szCs w:val="24"/>
          <w:lang w:eastAsia="lt-LT"/>
        </w:rPr>
        <w:br/>
        <w:t>7.1 Energijos gamyba</w:t>
      </w:r>
      <w:r w:rsidRPr="00976C6F">
        <w:rPr>
          <w:rFonts w:ascii="Times New Roman" w:eastAsia="Times New Roman" w:hAnsi="Times New Roman" w:cs="Times New Roman"/>
          <w:sz w:val="24"/>
          <w:szCs w:val="24"/>
          <w:lang w:eastAsia="lt-LT"/>
        </w:rPr>
        <w:br/>
        <w:t>7.1.2 Atsinaujinantys energijos šaltiniai</w:t>
      </w:r>
      <w:r w:rsidRPr="00976C6F">
        <w:rPr>
          <w:rFonts w:ascii="Times New Roman" w:eastAsia="Times New Roman" w:hAnsi="Times New Roman" w:cs="Times New Roman"/>
          <w:sz w:val="24"/>
          <w:szCs w:val="24"/>
          <w:lang w:eastAsia="lt-LT"/>
        </w:rPr>
        <w:br/>
        <w:t>7.1.3 Technologinės inovacijos energijos gamyboje</w:t>
      </w:r>
      <w:r w:rsidRPr="00976C6F">
        <w:rPr>
          <w:rFonts w:ascii="Times New Roman" w:eastAsia="Times New Roman" w:hAnsi="Times New Roman" w:cs="Times New Roman"/>
          <w:sz w:val="24"/>
          <w:szCs w:val="24"/>
          <w:lang w:eastAsia="lt-LT"/>
        </w:rPr>
        <w:br/>
        <w:t>7.2 Energijos saugojimas ir paskirstymas</w:t>
      </w:r>
      <w:r w:rsidRPr="00976C6F">
        <w:rPr>
          <w:rFonts w:ascii="Times New Roman" w:eastAsia="Times New Roman" w:hAnsi="Times New Roman" w:cs="Times New Roman"/>
          <w:sz w:val="24"/>
          <w:szCs w:val="24"/>
          <w:lang w:eastAsia="lt-LT"/>
        </w:rPr>
        <w:br/>
        <w:t>7.2.1 Energijos saugojimo technologijos</w:t>
      </w:r>
      <w:r w:rsidRPr="00976C6F">
        <w:rPr>
          <w:rFonts w:ascii="Times New Roman" w:eastAsia="Times New Roman" w:hAnsi="Times New Roman" w:cs="Times New Roman"/>
          <w:sz w:val="24"/>
          <w:szCs w:val="24"/>
          <w:lang w:eastAsia="lt-LT"/>
        </w:rPr>
        <w:br/>
        <w:t>7.2.2 Išmaniojo tinklo paskirstymo infrastruktūra</w:t>
      </w:r>
      <w:r w:rsidRPr="00976C6F">
        <w:rPr>
          <w:rFonts w:ascii="Times New Roman" w:eastAsia="Times New Roman" w:hAnsi="Times New Roman" w:cs="Times New Roman"/>
          <w:sz w:val="24"/>
          <w:szCs w:val="24"/>
          <w:lang w:eastAsia="lt-LT"/>
        </w:rPr>
        <w:br/>
        <w:t>7.3 Energetikos sistemos dalyviai</w:t>
      </w:r>
      <w:r w:rsidRPr="00976C6F">
        <w:rPr>
          <w:rFonts w:ascii="Times New Roman" w:eastAsia="Times New Roman" w:hAnsi="Times New Roman" w:cs="Times New Roman"/>
          <w:sz w:val="24"/>
          <w:szCs w:val="24"/>
          <w:lang w:eastAsia="lt-LT"/>
        </w:rPr>
        <w:br/>
        <w:t>7.4 Energijos suvartojimas ir efektyvumas</w:t>
      </w:r>
      <w:r w:rsidRPr="00976C6F">
        <w:rPr>
          <w:rFonts w:ascii="Times New Roman" w:eastAsia="Times New Roman" w:hAnsi="Times New Roman" w:cs="Times New Roman"/>
          <w:sz w:val="24"/>
          <w:szCs w:val="24"/>
          <w:lang w:eastAsia="lt-LT"/>
        </w:rPr>
        <w:br/>
        <w:t>7.4.1 Strategijos energijos vartojimo mažinimui</w:t>
      </w:r>
      <w:r w:rsidRPr="00976C6F">
        <w:rPr>
          <w:rFonts w:ascii="Times New Roman" w:eastAsia="Times New Roman" w:hAnsi="Times New Roman" w:cs="Times New Roman"/>
          <w:sz w:val="24"/>
          <w:szCs w:val="24"/>
          <w:lang w:eastAsia="lt-LT"/>
        </w:rPr>
        <w:br/>
        <w:t xml:space="preserve">7.4.2 Energijos efektyvumo tobulinimas </w:t>
      </w:r>
    </w:p>
    <w:p w14:paraId="2C2C9452"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STRATEGINIS IR POLITINIS KONTEKSTAS</w:t>
      </w:r>
      <w:r w:rsidRPr="00976C6F">
        <w:rPr>
          <w:rFonts w:ascii="Times New Roman" w:eastAsia="Times New Roman" w:hAnsi="Times New Roman" w:cs="Times New Roman"/>
          <w:sz w:val="24"/>
          <w:szCs w:val="24"/>
          <w:lang w:eastAsia="lt-LT"/>
        </w:rPr>
        <w:br/>
        <w:t>8.1 ES politikos kontekstas</w:t>
      </w:r>
      <w:r w:rsidRPr="00976C6F">
        <w:rPr>
          <w:rFonts w:ascii="Times New Roman" w:eastAsia="Times New Roman" w:hAnsi="Times New Roman" w:cs="Times New Roman"/>
          <w:sz w:val="24"/>
          <w:szCs w:val="24"/>
          <w:lang w:eastAsia="lt-LT"/>
        </w:rPr>
        <w:br/>
        <w:t>8.2 Nacionalinė ir regioninė politika</w:t>
      </w:r>
      <w:r w:rsidRPr="00976C6F">
        <w:rPr>
          <w:rFonts w:ascii="Times New Roman" w:eastAsia="Times New Roman" w:hAnsi="Times New Roman" w:cs="Times New Roman"/>
          <w:sz w:val="24"/>
          <w:szCs w:val="24"/>
          <w:lang w:eastAsia="lt-LT"/>
        </w:rPr>
        <w:br/>
        <w:t>8.3 Nacionalinės ir regioninės politikos įgyvendinimas</w:t>
      </w:r>
      <w:r w:rsidRPr="00976C6F">
        <w:rPr>
          <w:rFonts w:ascii="Times New Roman" w:eastAsia="Times New Roman" w:hAnsi="Times New Roman" w:cs="Times New Roman"/>
          <w:sz w:val="24"/>
          <w:szCs w:val="24"/>
          <w:lang w:eastAsia="lt-LT"/>
        </w:rPr>
        <w:br/>
        <w:t>8.3.1 Energetikos tarifai (ES)</w:t>
      </w:r>
      <w:r w:rsidRPr="00976C6F">
        <w:rPr>
          <w:rFonts w:ascii="Times New Roman" w:eastAsia="Times New Roman" w:hAnsi="Times New Roman" w:cs="Times New Roman"/>
          <w:sz w:val="24"/>
          <w:szCs w:val="24"/>
          <w:lang w:eastAsia="lt-LT"/>
        </w:rPr>
        <w:br/>
        <w:t xml:space="preserve">8.3.2 Problemos, kliūtys ir pasiekimai </w:t>
      </w:r>
    </w:p>
    <w:p w14:paraId="4542DB91"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 xml:space="preserve">GEROSIOS PRAKTIKOS </w:t>
      </w:r>
    </w:p>
    <w:p w14:paraId="30EE11FC" w14:textId="77777777" w:rsidR="00F340E8" w:rsidRPr="00976C6F" w:rsidRDefault="00F340E8" w:rsidP="00F340E8">
      <w:pPr>
        <w:numPr>
          <w:ilvl w:val="0"/>
          <w:numId w:val="2"/>
        </w:numPr>
        <w:spacing w:before="100" w:beforeAutospacing="1" w:after="100" w:afterAutospacing="1" w:line="240" w:lineRule="auto"/>
        <w:rPr>
          <w:rFonts w:ascii="Times New Roman" w:eastAsia="Times New Roman" w:hAnsi="Times New Roman" w:cs="Times New Roman"/>
          <w:sz w:val="24"/>
          <w:szCs w:val="24"/>
          <w:lang w:eastAsia="lt-LT"/>
        </w:rPr>
      </w:pPr>
      <w:r w:rsidRPr="00976C6F">
        <w:rPr>
          <w:rFonts w:ascii="Times New Roman" w:eastAsia="Times New Roman" w:hAnsi="Times New Roman" w:cs="Times New Roman"/>
          <w:sz w:val="24"/>
          <w:szCs w:val="24"/>
          <w:lang w:eastAsia="lt-LT"/>
        </w:rPr>
        <w:t>NUORODOS</w:t>
      </w:r>
    </w:p>
    <w:p w14:paraId="58261919" w14:textId="095006D9" w:rsidR="00F340E8" w:rsidRPr="00976C6F" w:rsidRDefault="00F340E8" w:rsidP="00551A64">
      <w:pPr>
        <w:tabs>
          <w:tab w:val="left" w:pos="993"/>
        </w:tabs>
        <w:ind w:firstLine="426"/>
        <w:jc w:val="both"/>
        <w:rPr>
          <w:rFonts w:ascii="Times New Roman" w:hAnsi="Times New Roman" w:cs="Times New Roman"/>
          <w:b/>
          <w:bCs/>
          <w:color w:val="000000"/>
          <w:sz w:val="24"/>
          <w:szCs w:val="24"/>
          <w:lang w:val="en-US"/>
        </w:rPr>
      </w:pPr>
      <w:r w:rsidRPr="00976C6F">
        <w:rPr>
          <w:rFonts w:ascii="Times New Roman" w:hAnsi="Times New Roman" w:cs="Times New Roman"/>
          <w:b/>
          <w:bCs/>
          <w:color w:val="000000"/>
          <w:sz w:val="24"/>
          <w:szCs w:val="24"/>
          <w:lang w:val="en-US"/>
        </w:rPr>
        <w:t>Analizė pilna apimtimi pateikiama lietuvių ir anglų kalbomis.</w:t>
      </w:r>
    </w:p>
    <w:p w14:paraId="489DBDBB" w14:textId="77777777" w:rsidR="00F340E8" w:rsidRPr="00976C6F" w:rsidRDefault="00F340E8" w:rsidP="00F340E8">
      <w:pPr>
        <w:tabs>
          <w:tab w:val="left" w:pos="993"/>
        </w:tabs>
        <w:ind w:firstLine="567"/>
        <w:jc w:val="both"/>
        <w:rPr>
          <w:rFonts w:ascii="Times New Roman" w:hAnsi="Times New Roman" w:cs="Times New Roman"/>
          <w:sz w:val="24"/>
          <w:szCs w:val="24"/>
        </w:rPr>
      </w:pPr>
      <w:r w:rsidRPr="00976C6F">
        <w:rPr>
          <w:rFonts w:ascii="Times New Roman" w:hAnsi="Times New Roman" w:cs="Times New Roman"/>
          <w:color w:val="000000"/>
          <w:sz w:val="24"/>
          <w:szCs w:val="24"/>
        </w:rPr>
        <w:lastRenderedPageBreak/>
        <w:t xml:space="preserve">5. </w:t>
      </w:r>
      <w:r w:rsidRPr="00976C6F">
        <w:rPr>
          <w:rFonts w:ascii="Times New Roman" w:hAnsi="Times New Roman" w:cs="Times New Roman"/>
          <w:sz w:val="24"/>
          <w:szCs w:val="24"/>
        </w:rPr>
        <w:t xml:space="preserve">Duomenis, dokumentus, pasiūlymus ir pan. reikalingus rinkos analizės parengimui, Paslaugos teikėjas surenka pats, išskyrus </w:t>
      </w:r>
      <w:r w:rsidRPr="00976C6F">
        <w:rPr>
          <w:rFonts w:ascii="Times New Roman" w:hAnsi="Times New Roman" w:cs="Times New Roman"/>
          <w:color w:val="000000"/>
          <w:sz w:val="24"/>
          <w:szCs w:val="24"/>
        </w:rPr>
        <w:t>reikalingą informaciją, pagal Paslaugos teikėjo užklausas Perkančiajai organizacijai ir jeigu tokia informacija Perkančioji organizacija disponuoja.</w:t>
      </w:r>
      <w:r w:rsidRPr="00976C6F">
        <w:rPr>
          <w:rFonts w:ascii="Times New Roman" w:hAnsi="Times New Roman" w:cs="Times New Roman"/>
          <w:sz w:val="24"/>
          <w:szCs w:val="24"/>
        </w:rPr>
        <w:t xml:space="preserve"> </w:t>
      </w:r>
    </w:p>
    <w:p w14:paraId="06269E1B" w14:textId="4D4EE402" w:rsidR="00F340E8" w:rsidRPr="00551A64" w:rsidRDefault="00F340E8" w:rsidP="00551A64">
      <w:pPr>
        <w:pStyle w:val="Heading1"/>
        <w:jc w:val="center"/>
        <w:rPr>
          <w:rFonts w:ascii="Times New Roman" w:hAnsi="Times New Roman" w:cs="Times New Roman"/>
          <w:b/>
          <w:bCs/>
          <w:color w:val="auto"/>
          <w:sz w:val="24"/>
          <w:szCs w:val="24"/>
        </w:rPr>
      </w:pPr>
      <w:r w:rsidRPr="00976C6F">
        <w:rPr>
          <w:rFonts w:ascii="Times New Roman" w:hAnsi="Times New Roman" w:cs="Times New Roman"/>
          <w:b/>
          <w:bCs/>
          <w:caps/>
          <w:color w:val="auto"/>
          <w:sz w:val="24"/>
          <w:szCs w:val="24"/>
        </w:rPr>
        <w:t>II. RINKOS ANALIZĖS  RENGIMa</w:t>
      </w:r>
      <w:r w:rsidR="00551A64">
        <w:rPr>
          <w:rFonts w:ascii="Times New Roman" w:hAnsi="Times New Roman" w:cs="Times New Roman"/>
          <w:b/>
          <w:bCs/>
          <w:caps/>
          <w:color w:val="auto"/>
          <w:sz w:val="24"/>
          <w:szCs w:val="24"/>
        </w:rPr>
        <w:t>s</w:t>
      </w:r>
    </w:p>
    <w:p w14:paraId="6FC9E391" w14:textId="77777777" w:rsidR="00976C6F" w:rsidRPr="00976C6F" w:rsidRDefault="00F340E8" w:rsidP="00551A64">
      <w:pPr>
        <w:tabs>
          <w:tab w:val="left" w:pos="993"/>
        </w:tabs>
        <w:spacing w:before="100" w:beforeAutospacing="1" w:after="100" w:afterAutospacing="1" w:line="240" w:lineRule="auto"/>
        <w:ind w:firstLine="567"/>
        <w:contextualSpacing/>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lang w:val="en-US"/>
        </w:rPr>
        <w:t>6.</w:t>
      </w:r>
      <w:r w:rsidRPr="00976C6F">
        <w:rPr>
          <w:rFonts w:ascii="Times New Roman" w:hAnsi="Times New Roman" w:cs="Times New Roman"/>
          <w:color w:val="000000"/>
          <w:sz w:val="24"/>
          <w:szCs w:val="24"/>
        </w:rPr>
        <w:t xml:space="preserve"> Rinkos analizė ir visi priedai bei reikalingi dokumentai turi būti parengti </w:t>
      </w:r>
      <w:r w:rsidR="00976C6F" w:rsidRPr="00976C6F">
        <w:rPr>
          <w:rFonts w:ascii="Times New Roman" w:hAnsi="Times New Roman" w:cs="Times New Roman"/>
          <w:color w:val="000000"/>
          <w:sz w:val="24"/>
          <w:szCs w:val="24"/>
        </w:rPr>
        <w:t xml:space="preserve">ne vėliau nei </w:t>
      </w:r>
      <w:r w:rsidRPr="00976C6F">
        <w:rPr>
          <w:rFonts w:ascii="Times New Roman" w:hAnsi="Times New Roman" w:cs="Times New Roman"/>
          <w:color w:val="000000"/>
          <w:sz w:val="24"/>
          <w:szCs w:val="24"/>
        </w:rPr>
        <w:t xml:space="preserve">per </w:t>
      </w:r>
      <w:r w:rsidRPr="00976C6F">
        <w:rPr>
          <w:rFonts w:ascii="Times New Roman" w:hAnsi="Times New Roman" w:cs="Times New Roman"/>
          <w:color w:val="000000"/>
          <w:sz w:val="24"/>
          <w:szCs w:val="24"/>
          <w:lang w:val="en-US"/>
        </w:rPr>
        <w:t>30</w:t>
      </w:r>
      <w:r w:rsidRPr="00976C6F">
        <w:rPr>
          <w:rFonts w:ascii="Times New Roman" w:hAnsi="Times New Roman" w:cs="Times New Roman"/>
          <w:color w:val="000000"/>
          <w:sz w:val="24"/>
          <w:szCs w:val="24"/>
        </w:rPr>
        <w:t xml:space="preserve"> kalendorinių dienų ir pateikti Perkančiajai organizacijai. </w:t>
      </w:r>
    </w:p>
    <w:p w14:paraId="241AC33B" w14:textId="1CED731B" w:rsidR="00F340E8" w:rsidRPr="00976C6F" w:rsidRDefault="00976C6F" w:rsidP="00551A64">
      <w:pPr>
        <w:tabs>
          <w:tab w:val="left" w:pos="993"/>
        </w:tabs>
        <w:spacing w:before="100" w:beforeAutospacing="1" w:after="100" w:afterAutospacing="1" w:line="240" w:lineRule="auto"/>
        <w:ind w:firstLine="567"/>
        <w:contextualSpacing/>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lang w:val="en-US"/>
        </w:rPr>
        <w:t xml:space="preserve">7. </w:t>
      </w:r>
      <w:r w:rsidR="00F340E8" w:rsidRPr="00976C6F">
        <w:rPr>
          <w:rFonts w:ascii="Times New Roman" w:hAnsi="Times New Roman" w:cs="Times New Roman"/>
          <w:color w:val="000000"/>
          <w:sz w:val="24"/>
          <w:szCs w:val="24"/>
        </w:rPr>
        <w:t>Terminas per kurį paslaugos teikėjas turi suteikti šiuo pirkimu sutartas paslaugas pradedamas skaičiuoti nuo Sutarties pasirašymo dienos.</w:t>
      </w:r>
    </w:p>
    <w:p w14:paraId="3E3F24E2" w14:textId="088E2253" w:rsidR="00F340E8" w:rsidRPr="00976C6F" w:rsidRDefault="00976C6F" w:rsidP="00551A64">
      <w:pPr>
        <w:tabs>
          <w:tab w:val="left" w:pos="993"/>
        </w:tabs>
        <w:spacing w:before="100" w:beforeAutospacing="1" w:after="100" w:afterAutospacing="1" w:line="240" w:lineRule="auto"/>
        <w:ind w:firstLine="567"/>
        <w:contextualSpacing/>
        <w:jc w:val="both"/>
        <w:rPr>
          <w:rFonts w:ascii="Times New Roman" w:hAnsi="Times New Roman" w:cs="Times New Roman"/>
          <w:sz w:val="24"/>
          <w:szCs w:val="24"/>
        </w:rPr>
      </w:pPr>
      <w:r w:rsidRPr="00976C6F">
        <w:rPr>
          <w:rFonts w:ascii="Times New Roman" w:hAnsi="Times New Roman" w:cs="Times New Roman"/>
          <w:color w:val="000000"/>
          <w:sz w:val="24"/>
          <w:szCs w:val="24"/>
        </w:rPr>
        <w:t>8</w:t>
      </w:r>
      <w:r w:rsidR="00F340E8" w:rsidRPr="00976C6F">
        <w:rPr>
          <w:rFonts w:ascii="Times New Roman" w:hAnsi="Times New Roman" w:cs="Times New Roman"/>
          <w:color w:val="000000"/>
          <w:sz w:val="24"/>
          <w:szCs w:val="24"/>
        </w:rPr>
        <w:t xml:space="preserve">. Perkančioji organizacija per 10 (dešimt) darbo dienų turi pateikti pasiūlymus / pastabas parengtai analizei, įskaitant priedams. Jeigu Perkančioji organizacija per 10 (dešimt) darbo dienų nepateikia jokių pastabų / pasiūlymų Paslaugų teikėjui dėl parengtų dokumentų, laikoma, kad Perkančioji organizacija neturi pastabų / pasiūlymų rinkos analizei. </w:t>
      </w:r>
    </w:p>
    <w:p w14:paraId="4391AD30" w14:textId="13A2467D" w:rsidR="00F340E8" w:rsidRPr="00976C6F" w:rsidRDefault="00976C6F" w:rsidP="00551A64">
      <w:pPr>
        <w:tabs>
          <w:tab w:val="left" w:pos="993"/>
        </w:tabs>
        <w:spacing w:before="100" w:beforeAutospacing="1" w:after="100" w:afterAutospacing="1" w:line="240" w:lineRule="auto"/>
        <w:ind w:firstLine="567"/>
        <w:contextualSpacing/>
        <w:jc w:val="both"/>
        <w:rPr>
          <w:rFonts w:ascii="Times New Roman" w:hAnsi="Times New Roman" w:cs="Times New Roman"/>
          <w:color w:val="000000"/>
          <w:sz w:val="24"/>
          <w:szCs w:val="24"/>
        </w:rPr>
      </w:pPr>
      <w:r w:rsidRPr="00976C6F">
        <w:rPr>
          <w:rFonts w:ascii="Times New Roman" w:hAnsi="Times New Roman" w:cs="Times New Roman"/>
          <w:color w:val="000000"/>
          <w:sz w:val="24"/>
          <w:szCs w:val="24"/>
        </w:rPr>
        <w:t>9</w:t>
      </w:r>
      <w:r w:rsidR="00F340E8" w:rsidRPr="00976C6F">
        <w:rPr>
          <w:rFonts w:ascii="Times New Roman" w:hAnsi="Times New Roman" w:cs="Times New Roman"/>
          <w:color w:val="000000"/>
          <w:sz w:val="24"/>
          <w:szCs w:val="24"/>
        </w:rPr>
        <w:t>. Paslaugų teikėjas įsipareigoja, esant Perkančiosios organizacijos atskiram prašymui, pristatyti rinkos analizę Perkančiosios organizacijos vadovams.</w:t>
      </w:r>
    </w:p>
    <w:p w14:paraId="4C230EA0" w14:textId="77777777" w:rsidR="00551A64" w:rsidRPr="00976C6F" w:rsidRDefault="00551A64" w:rsidP="00551A64">
      <w:pPr>
        <w:tabs>
          <w:tab w:val="left" w:pos="993"/>
        </w:tabs>
        <w:spacing w:before="100" w:beforeAutospacing="1" w:after="100" w:afterAutospacing="1" w:line="240" w:lineRule="auto"/>
        <w:ind w:firstLine="567"/>
        <w:contextualSpacing/>
        <w:jc w:val="both"/>
        <w:rPr>
          <w:rFonts w:ascii="Times New Roman" w:hAnsi="Times New Roman" w:cs="Times New Roman"/>
          <w:color w:val="000000"/>
          <w:sz w:val="24"/>
          <w:szCs w:val="24"/>
        </w:rPr>
      </w:pPr>
    </w:p>
    <w:p w14:paraId="661BD65E" w14:textId="77777777" w:rsidR="00F340E8" w:rsidRPr="00976C6F" w:rsidRDefault="00F340E8" w:rsidP="00F340E8">
      <w:pPr>
        <w:ind w:left="360"/>
        <w:jc w:val="center"/>
        <w:rPr>
          <w:rFonts w:ascii="Times New Roman" w:hAnsi="Times New Roman" w:cs="Times New Roman"/>
          <w:b/>
          <w:bCs/>
          <w:sz w:val="24"/>
          <w:szCs w:val="24"/>
          <w:lang w:val="es-ES"/>
        </w:rPr>
      </w:pPr>
      <w:r w:rsidRPr="00976C6F">
        <w:rPr>
          <w:rFonts w:ascii="Times New Roman" w:hAnsi="Times New Roman" w:cs="Times New Roman"/>
          <w:b/>
          <w:bCs/>
          <w:sz w:val="24"/>
          <w:szCs w:val="24"/>
          <w:lang w:val="es-ES"/>
        </w:rPr>
        <w:t>III. VYKDOMAS ŽALIASIS PIRKIMAS</w:t>
      </w:r>
    </w:p>
    <w:p w14:paraId="54FBC404" w14:textId="0563BA07" w:rsidR="00F340E8" w:rsidRPr="00976C6F" w:rsidRDefault="00551A64" w:rsidP="00551A64">
      <w:pPr>
        <w:tabs>
          <w:tab w:val="left" w:pos="993"/>
        </w:tabs>
        <w:spacing w:before="100" w:beforeAutospacing="1" w:after="100" w:afterAutospacing="1" w:line="240" w:lineRule="auto"/>
        <w:ind w:firstLine="567"/>
        <w:contextualSpacing/>
        <w:jc w:val="both"/>
        <w:rPr>
          <w:rFonts w:ascii="Times New Roman" w:hAnsi="Times New Roman" w:cs="Times New Roman"/>
          <w:sz w:val="24"/>
          <w:szCs w:val="24"/>
        </w:rPr>
      </w:pPr>
      <w:r>
        <w:rPr>
          <w:rFonts w:ascii="Times New Roman" w:hAnsi="Times New Roman" w:cs="Times New Roman"/>
          <w:color w:val="000000"/>
          <w:sz w:val="24"/>
          <w:szCs w:val="24"/>
        </w:rPr>
        <w:t>1</w:t>
      </w:r>
      <w:r w:rsidR="00093A53">
        <w:rPr>
          <w:rFonts w:ascii="Times New Roman" w:hAnsi="Times New Roman" w:cs="Times New Roman"/>
          <w:color w:val="000000"/>
          <w:sz w:val="24"/>
          <w:szCs w:val="24"/>
        </w:rPr>
        <w:t>0</w:t>
      </w:r>
      <w:r w:rsidR="00F340E8" w:rsidRPr="00976C6F">
        <w:rPr>
          <w:rFonts w:ascii="Times New Roman" w:hAnsi="Times New Roman" w:cs="Times New Roman"/>
          <w:color w:val="000000"/>
          <w:sz w:val="24"/>
          <w:szCs w:val="24"/>
        </w:rPr>
        <w:t>. Vadovaujantis Lietuvos Respublikos aplinkos ministro 2011 m. birželio 28 d. įsakymu Nr. D1- 508 patvirtinto „Dėl aplinkos apsaugos kriterijų taikymo, vykdant žaliuosius pirkimus, tvarkos aprašo patvirtinimo“ tvarkos aprašo 4.4.3. punktu</w:t>
      </w:r>
      <w:r w:rsidR="00A53FA3">
        <w:rPr>
          <w:rFonts w:ascii="Times New Roman" w:hAnsi="Times New Roman" w:cs="Times New Roman"/>
          <w:color w:val="000000"/>
          <w:sz w:val="24"/>
          <w:szCs w:val="24"/>
        </w:rPr>
        <w:t>,</w:t>
      </w:r>
      <w:r w:rsidR="00F340E8" w:rsidRPr="00976C6F">
        <w:rPr>
          <w:rFonts w:ascii="Times New Roman" w:hAnsi="Times New Roman" w:cs="Times New Roman"/>
          <w:color w:val="000000"/>
          <w:sz w:val="24"/>
          <w:szCs w:val="24"/>
        </w:rPr>
        <w:t xml:space="preserve"> pirkimas laikomas „žaliuoju“, nes „perkama tik nematerialaus pobūdžio (intelektinė) ar kitokia paslauga, nesusijusi su materialaus objekto sukūrimu, kurios teikimo metu nėra numatomas reikšmingas neigiamas poveikis aplinkai, nesukuriamas taršos šaltinis ir negeneruojamos atliekos.</w:t>
      </w:r>
    </w:p>
    <w:p w14:paraId="2A604BBD" w14:textId="77777777" w:rsidR="003B2DC8" w:rsidRPr="00976C6F" w:rsidRDefault="003B2DC8">
      <w:pPr>
        <w:rPr>
          <w:rFonts w:ascii="Times New Roman" w:hAnsi="Times New Roman" w:cs="Times New Roman"/>
          <w:sz w:val="24"/>
          <w:szCs w:val="24"/>
        </w:rPr>
      </w:pPr>
    </w:p>
    <w:sectPr w:rsidR="003B2DC8" w:rsidRPr="00976C6F" w:rsidSect="00976C6F">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B93"/>
    <w:multiLevelType w:val="multilevel"/>
    <w:tmpl w:val="60981DB2"/>
    <w:lvl w:ilvl="0">
      <w:start w:val="1"/>
      <w:numFmt w:val="decimal"/>
      <w:lvlText w:val="%1."/>
      <w:lvlJc w:val="left"/>
      <w:pPr>
        <w:ind w:left="1236" w:hanging="810"/>
      </w:pPr>
    </w:lvl>
    <w:lvl w:ilvl="1">
      <w:start w:val="1"/>
      <w:numFmt w:val="decimal"/>
      <w:lvlText w:val="%1.%2."/>
      <w:lvlJc w:val="left"/>
      <w:pPr>
        <w:ind w:left="1620" w:hanging="360"/>
      </w:pPr>
    </w:lvl>
    <w:lvl w:ilvl="2">
      <w:start w:val="1"/>
      <w:numFmt w:val="decimal"/>
      <w:lvlText w:val="%1.%2.%3."/>
      <w:lvlJc w:val="left"/>
      <w:pPr>
        <w:ind w:left="2520" w:hanging="36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1" w15:restartNumberingAfterBreak="0">
    <w:nsid w:val="278A0144"/>
    <w:multiLevelType w:val="multilevel"/>
    <w:tmpl w:val="804E9C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46295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79325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690"/>
    <w:rsid w:val="00093A53"/>
    <w:rsid w:val="000F761D"/>
    <w:rsid w:val="003B2DC8"/>
    <w:rsid w:val="00456690"/>
    <w:rsid w:val="004B4AE1"/>
    <w:rsid w:val="00551A64"/>
    <w:rsid w:val="00672844"/>
    <w:rsid w:val="006A598D"/>
    <w:rsid w:val="008876A0"/>
    <w:rsid w:val="00976C6F"/>
    <w:rsid w:val="00A53FA3"/>
    <w:rsid w:val="00D60793"/>
    <w:rsid w:val="00E33431"/>
    <w:rsid w:val="00E750B0"/>
    <w:rsid w:val="00EA6EB1"/>
    <w:rsid w:val="00F340E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BB431"/>
  <w15:chartTrackingRefBased/>
  <w15:docId w15:val="{45D70CD7-EFE0-4936-B2D5-7278911D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0E8"/>
    <w:pPr>
      <w:spacing w:line="256" w:lineRule="auto"/>
    </w:pPr>
    <w:rPr>
      <w:rFonts w:asciiTheme="minorHAnsi" w:hAnsiTheme="minorHAnsi"/>
      <w:sz w:val="22"/>
    </w:rPr>
  </w:style>
  <w:style w:type="paragraph" w:styleId="Heading1">
    <w:name w:val="heading 1"/>
    <w:basedOn w:val="Normal"/>
    <w:next w:val="Normal"/>
    <w:link w:val="Heading1Char"/>
    <w:uiPriority w:val="9"/>
    <w:qFormat/>
    <w:rsid w:val="00456690"/>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6690"/>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6690"/>
    <w:pPr>
      <w:keepNext/>
      <w:keepLines/>
      <w:spacing w:before="160" w:after="80" w:line="259"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6690"/>
    <w:pPr>
      <w:keepNext/>
      <w:keepLines/>
      <w:spacing w:before="80" w:after="40" w:line="259" w:lineRule="auto"/>
      <w:outlineLvl w:val="3"/>
    </w:pPr>
    <w:rPr>
      <w:rFonts w:eastAsiaTheme="majorEastAsia" w:cstheme="majorBidi"/>
      <w:i/>
      <w:iCs/>
      <w:color w:val="2F5496" w:themeColor="accent1" w:themeShade="BF"/>
      <w:sz w:val="20"/>
    </w:rPr>
  </w:style>
  <w:style w:type="paragraph" w:styleId="Heading5">
    <w:name w:val="heading 5"/>
    <w:basedOn w:val="Normal"/>
    <w:next w:val="Normal"/>
    <w:link w:val="Heading5Char"/>
    <w:uiPriority w:val="9"/>
    <w:semiHidden/>
    <w:unhideWhenUsed/>
    <w:qFormat/>
    <w:rsid w:val="00456690"/>
    <w:pPr>
      <w:keepNext/>
      <w:keepLines/>
      <w:spacing w:before="80" w:after="40" w:line="259" w:lineRule="auto"/>
      <w:outlineLvl w:val="4"/>
    </w:pPr>
    <w:rPr>
      <w:rFonts w:eastAsiaTheme="majorEastAsia" w:cstheme="majorBidi"/>
      <w:color w:val="2F5496" w:themeColor="accent1" w:themeShade="BF"/>
      <w:sz w:val="20"/>
    </w:rPr>
  </w:style>
  <w:style w:type="paragraph" w:styleId="Heading6">
    <w:name w:val="heading 6"/>
    <w:basedOn w:val="Normal"/>
    <w:next w:val="Normal"/>
    <w:link w:val="Heading6Char"/>
    <w:uiPriority w:val="9"/>
    <w:semiHidden/>
    <w:unhideWhenUsed/>
    <w:qFormat/>
    <w:rsid w:val="00456690"/>
    <w:pPr>
      <w:keepNext/>
      <w:keepLines/>
      <w:spacing w:before="40" w:after="0" w:line="259" w:lineRule="auto"/>
      <w:outlineLvl w:val="5"/>
    </w:pPr>
    <w:rPr>
      <w:rFonts w:eastAsiaTheme="majorEastAsia" w:cstheme="majorBidi"/>
      <w:i/>
      <w:iCs/>
      <w:color w:val="595959" w:themeColor="text1" w:themeTint="A6"/>
      <w:sz w:val="20"/>
    </w:rPr>
  </w:style>
  <w:style w:type="paragraph" w:styleId="Heading7">
    <w:name w:val="heading 7"/>
    <w:basedOn w:val="Normal"/>
    <w:next w:val="Normal"/>
    <w:link w:val="Heading7Char"/>
    <w:uiPriority w:val="9"/>
    <w:semiHidden/>
    <w:unhideWhenUsed/>
    <w:qFormat/>
    <w:rsid w:val="00456690"/>
    <w:pPr>
      <w:keepNext/>
      <w:keepLines/>
      <w:spacing w:before="40" w:after="0" w:line="259" w:lineRule="auto"/>
      <w:outlineLvl w:val="6"/>
    </w:pPr>
    <w:rPr>
      <w:rFonts w:eastAsiaTheme="majorEastAsia" w:cstheme="majorBidi"/>
      <w:color w:val="595959" w:themeColor="text1" w:themeTint="A6"/>
      <w:sz w:val="20"/>
    </w:rPr>
  </w:style>
  <w:style w:type="paragraph" w:styleId="Heading8">
    <w:name w:val="heading 8"/>
    <w:basedOn w:val="Normal"/>
    <w:next w:val="Normal"/>
    <w:link w:val="Heading8Char"/>
    <w:uiPriority w:val="9"/>
    <w:semiHidden/>
    <w:unhideWhenUsed/>
    <w:qFormat/>
    <w:rsid w:val="00456690"/>
    <w:pPr>
      <w:keepNext/>
      <w:keepLines/>
      <w:spacing w:after="0" w:line="259" w:lineRule="auto"/>
      <w:outlineLvl w:val="7"/>
    </w:pPr>
    <w:rPr>
      <w:rFonts w:eastAsiaTheme="majorEastAsia" w:cstheme="majorBidi"/>
      <w:i/>
      <w:iCs/>
      <w:color w:val="272727" w:themeColor="text1" w:themeTint="D8"/>
      <w:sz w:val="20"/>
    </w:rPr>
  </w:style>
  <w:style w:type="paragraph" w:styleId="Heading9">
    <w:name w:val="heading 9"/>
    <w:basedOn w:val="Normal"/>
    <w:next w:val="Normal"/>
    <w:link w:val="Heading9Char"/>
    <w:uiPriority w:val="9"/>
    <w:semiHidden/>
    <w:unhideWhenUsed/>
    <w:qFormat/>
    <w:rsid w:val="00456690"/>
    <w:pPr>
      <w:keepNext/>
      <w:keepLines/>
      <w:spacing w:after="0" w:line="259" w:lineRule="auto"/>
      <w:outlineLvl w:val="8"/>
    </w:pPr>
    <w:rPr>
      <w:rFonts w:eastAsiaTheme="majorEastAsia" w:cstheme="majorBidi"/>
      <w:color w:val="272727" w:themeColor="text1" w:themeTint="D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66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66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669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669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5669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5669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5669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5669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5669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566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66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6690"/>
    <w:pPr>
      <w:numPr>
        <w:ilvl w:val="1"/>
      </w:numPr>
      <w:spacing w:line="259"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669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56690"/>
    <w:pPr>
      <w:spacing w:before="160" w:line="259" w:lineRule="auto"/>
      <w:jc w:val="center"/>
    </w:pPr>
    <w:rPr>
      <w:rFonts w:ascii="Verdana" w:hAnsi="Verdana"/>
      <w:i/>
      <w:iCs/>
      <w:color w:val="404040" w:themeColor="text1" w:themeTint="BF"/>
      <w:sz w:val="20"/>
    </w:rPr>
  </w:style>
  <w:style w:type="character" w:customStyle="1" w:styleId="QuoteChar">
    <w:name w:val="Quote Char"/>
    <w:basedOn w:val="DefaultParagraphFont"/>
    <w:link w:val="Quote"/>
    <w:uiPriority w:val="29"/>
    <w:rsid w:val="00456690"/>
    <w:rPr>
      <w:i/>
      <w:iCs/>
      <w:color w:val="404040" w:themeColor="text1" w:themeTint="BF"/>
    </w:rPr>
  </w:style>
  <w:style w:type="paragraph" w:styleId="ListParagraph">
    <w:name w:val="List Paragraph"/>
    <w:basedOn w:val="Normal"/>
    <w:uiPriority w:val="34"/>
    <w:qFormat/>
    <w:rsid w:val="00456690"/>
    <w:pPr>
      <w:spacing w:line="259" w:lineRule="auto"/>
      <w:ind w:left="720"/>
      <w:contextualSpacing/>
    </w:pPr>
    <w:rPr>
      <w:rFonts w:ascii="Verdana" w:hAnsi="Verdana"/>
      <w:sz w:val="20"/>
    </w:rPr>
  </w:style>
  <w:style w:type="character" w:styleId="IntenseEmphasis">
    <w:name w:val="Intense Emphasis"/>
    <w:basedOn w:val="DefaultParagraphFont"/>
    <w:uiPriority w:val="21"/>
    <w:qFormat/>
    <w:rsid w:val="00456690"/>
    <w:rPr>
      <w:i/>
      <w:iCs/>
      <w:color w:val="2F5496" w:themeColor="accent1" w:themeShade="BF"/>
    </w:rPr>
  </w:style>
  <w:style w:type="paragraph" w:styleId="IntenseQuote">
    <w:name w:val="Intense Quote"/>
    <w:basedOn w:val="Normal"/>
    <w:next w:val="Normal"/>
    <w:link w:val="IntenseQuoteChar"/>
    <w:uiPriority w:val="30"/>
    <w:qFormat/>
    <w:rsid w:val="0045669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Verdana" w:hAnsi="Verdana"/>
      <w:i/>
      <w:iCs/>
      <w:color w:val="2F5496" w:themeColor="accent1" w:themeShade="BF"/>
      <w:sz w:val="20"/>
    </w:rPr>
  </w:style>
  <w:style w:type="character" w:customStyle="1" w:styleId="IntenseQuoteChar">
    <w:name w:val="Intense Quote Char"/>
    <w:basedOn w:val="DefaultParagraphFont"/>
    <w:link w:val="IntenseQuote"/>
    <w:uiPriority w:val="30"/>
    <w:rsid w:val="00456690"/>
    <w:rPr>
      <w:i/>
      <w:iCs/>
      <w:color w:val="2F5496" w:themeColor="accent1" w:themeShade="BF"/>
    </w:rPr>
  </w:style>
  <w:style w:type="character" w:styleId="IntenseReference">
    <w:name w:val="Intense Reference"/>
    <w:basedOn w:val="DefaultParagraphFont"/>
    <w:uiPriority w:val="32"/>
    <w:qFormat/>
    <w:rsid w:val="00456690"/>
    <w:rPr>
      <w:b/>
      <w:bCs/>
      <w:smallCaps/>
      <w:color w:val="2F5496" w:themeColor="accent1" w:themeShade="BF"/>
      <w:spacing w:val="5"/>
    </w:rPr>
  </w:style>
  <w:style w:type="character" w:styleId="Hyperlink">
    <w:name w:val="Hyperlink"/>
    <w:basedOn w:val="DefaultParagraphFont"/>
    <w:uiPriority w:val="99"/>
    <w:unhideWhenUsed/>
    <w:rsid w:val="00F340E8"/>
    <w:rPr>
      <w:color w:val="0563C1" w:themeColor="hyperlink"/>
      <w:u w:val="single"/>
    </w:rPr>
  </w:style>
  <w:style w:type="character" w:styleId="UnresolvedMention">
    <w:name w:val="Unresolved Mention"/>
    <w:basedOn w:val="DefaultParagraphFont"/>
    <w:uiPriority w:val="99"/>
    <w:semiHidden/>
    <w:unhideWhenUsed/>
    <w:rsid w:val="00F340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475">
      <w:bodyDiv w:val="1"/>
      <w:marLeft w:val="0"/>
      <w:marRight w:val="0"/>
      <w:marTop w:val="0"/>
      <w:marBottom w:val="0"/>
      <w:divBdr>
        <w:top w:val="none" w:sz="0" w:space="0" w:color="auto"/>
        <w:left w:val="none" w:sz="0" w:space="0" w:color="auto"/>
        <w:bottom w:val="none" w:sz="0" w:space="0" w:color="auto"/>
        <w:right w:val="none" w:sz="0" w:space="0" w:color="auto"/>
      </w:divBdr>
    </w:div>
    <w:div w:id="526140970">
      <w:bodyDiv w:val="1"/>
      <w:marLeft w:val="0"/>
      <w:marRight w:val="0"/>
      <w:marTop w:val="0"/>
      <w:marBottom w:val="0"/>
      <w:divBdr>
        <w:top w:val="none" w:sz="0" w:space="0" w:color="auto"/>
        <w:left w:val="none" w:sz="0" w:space="0" w:color="auto"/>
        <w:bottom w:val="none" w:sz="0" w:space="0" w:color="auto"/>
        <w:right w:val="none" w:sz="0" w:space="0" w:color="auto"/>
      </w:divBdr>
    </w:div>
    <w:div w:id="6121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nterregeurope.eu/repower-industri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4833</Words>
  <Characters>2756</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Brigita Skliuderytė</cp:lastModifiedBy>
  <cp:revision>8</cp:revision>
  <dcterms:created xsi:type="dcterms:W3CDTF">2025-06-11T17:08:00Z</dcterms:created>
  <dcterms:modified xsi:type="dcterms:W3CDTF">2025-06-12T10:42:00Z</dcterms:modified>
</cp:coreProperties>
</file>